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2D" w:rsidRDefault="00D922A6" w:rsidP="00D922A6">
      <w:pPr>
        <w:shd w:val="clear" w:color="auto" w:fill="FFFFFF"/>
        <w:spacing w:after="0" w:afterAutospacing="1" w:line="360" w:lineRule="auto"/>
        <w:jc w:val="both"/>
        <w:rPr>
          <w:rFonts w:ascii="Arial" w:eastAsia="Times New Roman" w:hAnsi="Arial" w:cs="Arial"/>
          <w:b/>
          <w:sz w:val="24"/>
          <w:szCs w:val="24"/>
          <w:u w:val="single"/>
          <w:lang w:eastAsia="pt-BR"/>
        </w:rPr>
      </w:pPr>
      <w:r w:rsidRPr="00D922A6">
        <w:rPr>
          <w:rFonts w:ascii="Arial" w:eastAsia="Times New Roman" w:hAnsi="Arial" w:cs="Arial"/>
          <w:b/>
          <w:sz w:val="24"/>
          <w:szCs w:val="24"/>
          <w:u w:val="single"/>
          <w:lang w:eastAsia="pt-BR"/>
        </w:rPr>
        <w:t>SOBRE A CONTRATAÇÃO DE SERVIÇOS ADVOCATÍCIOS PELA CÂMARA MUNICIPAL DE VEREADORES DE TABAÍ/RS</w:t>
      </w:r>
    </w:p>
    <w:p w:rsidR="00D922A6" w:rsidRPr="00D922A6" w:rsidRDefault="00D922A6" w:rsidP="00D922A6">
      <w:pPr>
        <w:shd w:val="clear" w:color="auto" w:fill="FFFFFF"/>
        <w:spacing w:after="0" w:afterAutospacing="1" w:line="360" w:lineRule="auto"/>
        <w:jc w:val="both"/>
        <w:rPr>
          <w:rFonts w:ascii="Arial" w:eastAsia="Times New Roman" w:hAnsi="Arial" w:cs="Arial"/>
          <w:b/>
          <w:sz w:val="24"/>
          <w:szCs w:val="24"/>
          <w:u w:val="single"/>
          <w:lang w:eastAsia="pt-BR"/>
        </w:rPr>
      </w:pPr>
    </w:p>
    <w:p w:rsidR="00D922A6" w:rsidRPr="00D922A6" w:rsidRDefault="00D922A6" w:rsidP="00D922A6">
      <w:pPr>
        <w:shd w:val="clear" w:color="auto" w:fill="FFFFFF"/>
        <w:spacing w:after="0" w:afterAutospacing="1" w:line="360" w:lineRule="auto"/>
        <w:jc w:val="both"/>
        <w:rPr>
          <w:rFonts w:ascii="Arial" w:eastAsia="Times New Roman" w:hAnsi="Arial" w:cs="Arial"/>
          <w:b/>
          <w:sz w:val="24"/>
          <w:szCs w:val="24"/>
          <w:lang w:eastAsia="pt-BR"/>
        </w:rPr>
      </w:pPr>
      <w:r w:rsidRPr="00D922A6">
        <w:rPr>
          <w:rFonts w:ascii="Arial" w:eastAsia="Times New Roman" w:hAnsi="Arial" w:cs="Arial"/>
          <w:sz w:val="24"/>
          <w:szCs w:val="24"/>
          <w:u w:val="single"/>
          <w:lang w:eastAsia="pt-BR"/>
        </w:rPr>
        <w:t>Modalidade</w:t>
      </w:r>
      <w:r w:rsidRPr="00D922A6">
        <w:rPr>
          <w:rFonts w:ascii="Arial" w:eastAsia="Times New Roman" w:hAnsi="Arial" w:cs="Arial"/>
          <w:sz w:val="24"/>
          <w:szCs w:val="24"/>
          <w:lang w:eastAsia="pt-BR"/>
        </w:rPr>
        <w:t xml:space="preserve">: </w:t>
      </w:r>
      <w:r w:rsidRPr="00D922A6">
        <w:rPr>
          <w:rFonts w:ascii="Arial" w:eastAsia="Times New Roman" w:hAnsi="Arial" w:cs="Arial"/>
          <w:b/>
          <w:sz w:val="24"/>
          <w:szCs w:val="24"/>
          <w:lang w:eastAsia="pt-BR"/>
        </w:rPr>
        <w:t>Inexigibilidade de Licitação – Art. 25, II e 13, V – Lei 8.666/93, c/c art. 57, II da referida Lei.</w:t>
      </w:r>
    </w:p>
    <w:p w:rsidR="00D922A6" w:rsidRPr="00D922A6" w:rsidRDefault="00D922A6" w:rsidP="00D922A6">
      <w:pPr>
        <w:shd w:val="clear" w:color="auto" w:fill="FFFFFF"/>
        <w:spacing w:after="0" w:afterAutospacing="1" w:line="360" w:lineRule="auto"/>
        <w:jc w:val="both"/>
        <w:rPr>
          <w:rFonts w:ascii="Arial" w:eastAsia="Times New Roman" w:hAnsi="Arial" w:cs="Arial"/>
          <w:sz w:val="24"/>
          <w:szCs w:val="24"/>
          <w:lang w:eastAsia="pt-BR"/>
        </w:rPr>
      </w:pP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O art. 25 da lei 8.666/93 traz em seu inciso II, como umas das causas exemplificativas de inexigibilidade, a contratação de serviços técnicos enumerados no art. 13 da referida lei, desde que possua natureza singular, prestado por profissionais ou empresas de notória especialização.</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 xml:space="preserve">Nesses termos, o art. 13, V considera como serviços técnicos profissionais especializados o patrocínio ou defesa de causas judiciais ou </w:t>
      </w:r>
      <w:proofErr w:type="gramStart"/>
      <w:r w:rsidRPr="0066162D">
        <w:rPr>
          <w:rFonts w:ascii="Arial" w:eastAsia="Times New Roman" w:hAnsi="Arial" w:cs="Arial"/>
          <w:sz w:val="24"/>
          <w:szCs w:val="24"/>
          <w:lang w:eastAsia="pt-BR"/>
        </w:rPr>
        <w:t>administrativas</w:t>
      </w:r>
      <w:proofErr w:type="gramEnd"/>
      <w:r w:rsidRPr="0066162D">
        <w:rPr>
          <w:rFonts w:ascii="Arial" w:eastAsia="Times New Roman" w:hAnsi="Arial" w:cs="Arial"/>
          <w:sz w:val="24"/>
          <w:szCs w:val="24"/>
          <w:lang w:eastAsia="pt-BR"/>
        </w:rPr>
        <w:t>, desde que de natureza singular, com profissionais ou empresas de notória especialização</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 xml:space="preserve">Da análise dos dispositivos </w:t>
      </w:r>
      <w:proofErr w:type="spellStart"/>
      <w:r w:rsidRPr="0066162D">
        <w:rPr>
          <w:rFonts w:ascii="Arial" w:eastAsia="Times New Roman" w:hAnsi="Arial" w:cs="Arial"/>
          <w:sz w:val="24"/>
          <w:szCs w:val="24"/>
          <w:lang w:eastAsia="pt-BR"/>
        </w:rPr>
        <w:t>susos</w:t>
      </w:r>
      <w:proofErr w:type="spellEnd"/>
      <w:r w:rsidRPr="0066162D">
        <w:rPr>
          <w:rFonts w:ascii="Arial" w:eastAsia="Times New Roman" w:hAnsi="Arial" w:cs="Arial"/>
          <w:sz w:val="24"/>
          <w:szCs w:val="24"/>
          <w:lang w:eastAsia="pt-BR"/>
        </w:rPr>
        <w:t>, têm-se como requisitos para a inexigibilidade de licitação para contratação de serviços advocatícios: a natureza singular e a notória especialização do executor.</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O § 1º do art. 25 dá-nos a definição de notória especialização, nos seguintes termos:</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lastRenderedPageBreak/>
        <w:t>O eminente Celso Antônio, reconhecendo o caráter subjetivo para a contratação direta por inexigibilidade de licitação, aclara-nos com seu brilhantismo peculiar:</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É natural, pois, que, em situações deste gênero, a eleição do eventual contratado – a ser obrigatoriamente escolhido entre os sujeitos de reconhecida competência na matéria, recaia em profissional ou empresa cujos desempenhos despertem no contratante a convicção de que, para o caso, serão presumivelmente mais indicados do que os de outros, despertando-lhe a confiança de que produzirá a atividade mais adequada para o caso.</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 xml:space="preserve">Há, pois, nisto, também um componente subjetivo </w:t>
      </w:r>
      <w:proofErr w:type="spellStart"/>
      <w:r w:rsidRPr="0066162D">
        <w:rPr>
          <w:rFonts w:ascii="Arial" w:eastAsia="Times New Roman" w:hAnsi="Arial" w:cs="Arial"/>
          <w:sz w:val="20"/>
          <w:szCs w:val="20"/>
          <w:lang w:eastAsia="pt-BR"/>
        </w:rPr>
        <w:t>ineliminável</w:t>
      </w:r>
      <w:proofErr w:type="spellEnd"/>
      <w:r w:rsidRPr="0066162D">
        <w:rPr>
          <w:rFonts w:ascii="Arial" w:eastAsia="Times New Roman" w:hAnsi="Arial" w:cs="Arial"/>
          <w:sz w:val="20"/>
          <w:szCs w:val="20"/>
          <w:lang w:eastAsia="pt-BR"/>
        </w:rPr>
        <w:t xml:space="preserve"> por parte de quem contrata.</w:t>
      </w:r>
      <w:r w:rsidRPr="00D922A6">
        <w:rPr>
          <w:rFonts w:ascii="Arial" w:eastAsia="Times New Roman" w:hAnsi="Arial" w:cs="Arial"/>
          <w:sz w:val="20"/>
          <w:szCs w:val="20"/>
          <w:lang w:eastAsia="pt-BR"/>
        </w:rPr>
        <w:t xml:space="preserve"> </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Para os serviços advocatícios os requisitos de notória especialização e singularidade se jungem na ideia de confiança necessária ao serviço advocatício. Assim, há uma análise discricionária por parte do administrador quando da escolha do executor dos serviços advocatícios.</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Licitação. Inexigibilidade para contratação de advogado. Inexistência de infração. Lei 8.666, de 21.06.1993, que regulamenta o artigo 37, inciso XXI, da Constituição Federal, institui normas para licitações e contratos da administração pública. Inexigibilidade de licitação para contratação de advogado, para prestação de serviços “patrocínio ou defesa” de causas judiciais ou administrativas. Condição de comprovação hábil, em face da natureza singular dos serviços técnicos necessitados, de tratar-se de profissionais ou empresas de notória especialização. Critério aceitável pela evidente inviabilidade de competição licitatória. Pressuposto da existência de necessária moralidade do agente público no ato discricionário regular na aferição de justa notoriedade do concorrente. Inexistência, na mencionada lei, de criação de hierarquia qualitativa dentro da categoria dos advogados. Inexistência de infring</w:t>
      </w:r>
      <w:r w:rsidRPr="00D922A6">
        <w:rPr>
          <w:rFonts w:ascii="Arial" w:eastAsia="Times New Roman" w:hAnsi="Arial" w:cs="Arial"/>
          <w:sz w:val="20"/>
          <w:szCs w:val="20"/>
          <w:lang w:eastAsia="pt-BR"/>
        </w:rPr>
        <w:t>ê</w:t>
      </w:r>
      <w:r w:rsidRPr="0066162D">
        <w:rPr>
          <w:rFonts w:ascii="Arial" w:eastAsia="Times New Roman" w:hAnsi="Arial" w:cs="Arial"/>
          <w:sz w:val="20"/>
          <w:szCs w:val="20"/>
          <w:lang w:eastAsia="pt-BR"/>
        </w:rPr>
        <w:t xml:space="preserve">ncia ética na fórmula legal licitatória de contratação de advogados pela administração pública. </w:t>
      </w:r>
      <w:r w:rsidRPr="0066162D">
        <w:rPr>
          <w:rFonts w:ascii="Arial" w:eastAsia="Times New Roman" w:hAnsi="Arial" w:cs="Arial"/>
          <w:sz w:val="20"/>
          <w:szCs w:val="20"/>
          <w:lang w:eastAsia="pt-BR"/>
        </w:rPr>
        <w:lastRenderedPageBreak/>
        <w:t>Precedente no Processo E-1.062 (OAB – Tribunal de Ética. Processo E-1.355, rel. Dr. Elias Farah)</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No mais, a natureza do serviço advocatício é alheia a qualquer forma de competição objetiva. Em artigo apurado sobre o tema, Alice Maria Gonzalez Borges</w:t>
      </w:r>
      <w:bookmarkStart w:id="0" w:name="_ftnref5"/>
      <w:r w:rsidRPr="00D922A6">
        <w:rPr>
          <w:rFonts w:ascii="Arial" w:eastAsia="Times New Roman" w:hAnsi="Arial" w:cs="Arial"/>
          <w:sz w:val="24"/>
          <w:szCs w:val="24"/>
          <w:lang w:eastAsia="pt-BR"/>
        </w:rPr>
        <w:t>,</w:t>
      </w:r>
      <w:hyperlink r:id="rId4" w:anchor="_ftn5" w:history="1"/>
      <w:bookmarkEnd w:id="0"/>
      <w:r w:rsidRPr="00D922A6">
        <w:rPr>
          <w:rFonts w:ascii="Arial" w:eastAsia="Times New Roman" w:hAnsi="Arial" w:cs="Arial"/>
          <w:sz w:val="24"/>
          <w:szCs w:val="24"/>
          <w:lang w:eastAsia="pt-BR"/>
        </w:rPr>
        <w:t> </w:t>
      </w:r>
      <w:r w:rsidRPr="0066162D">
        <w:rPr>
          <w:rFonts w:ascii="Arial" w:eastAsia="Times New Roman" w:hAnsi="Arial" w:cs="Arial"/>
          <w:sz w:val="24"/>
          <w:szCs w:val="24"/>
          <w:lang w:eastAsia="pt-BR"/>
        </w:rPr>
        <w:t>diz existir um “antagonismo entre a Lei. 8.666/93 e o Estatuto da OAB e seu Código de Ética”, e explica que “o exercício ético da advocacia não se compadece com a competição entre seus profissionais, nos moldes das normas de licitação, cuja própria essência reside justamente na competição”:</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Se o Estatuto da OAB e o Código de Ética vedam a captação de clientela, os procedimentos de mercantilização da profissão e o aviltamento de valores dos honorários advocatícios (</w:t>
      </w:r>
      <w:proofErr w:type="spellStart"/>
      <w:r w:rsidRPr="0066162D">
        <w:rPr>
          <w:rFonts w:ascii="Arial" w:eastAsia="Times New Roman" w:hAnsi="Arial" w:cs="Arial"/>
          <w:sz w:val="20"/>
          <w:szCs w:val="20"/>
          <w:lang w:eastAsia="pt-BR"/>
        </w:rPr>
        <w:t>arts</w:t>
      </w:r>
      <w:proofErr w:type="spellEnd"/>
      <w:r w:rsidRPr="0066162D">
        <w:rPr>
          <w:rFonts w:ascii="Arial" w:eastAsia="Times New Roman" w:hAnsi="Arial" w:cs="Arial"/>
          <w:sz w:val="20"/>
          <w:szCs w:val="20"/>
          <w:lang w:eastAsia="pt-BR"/>
        </w:rPr>
        <w:t xml:space="preserve">. 39 e 41 do Código de Ética), como conciliar tais princípios com a participação de advogados, concorrendo com outros advogados em uma licitação de menor preço, nos moldes dos </w:t>
      </w:r>
      <w:proofErr w:type="spellStart"/>
      <w:r w:rsidRPr="0066162D">
        <w:rPr>
          <w:rFonts w:ascii="Arial" w:eastAsia="Times New Roman" w:hAnsi="Arial" w:cs="Arial"/>
          <w:sz w:val="20"/>
          <w:szCs w:val="20"/>
          <w:lang w:eastAsia="pt-BR"/>
        </w:rPr>
        <w:t>arts</w:t>
      </w:r>
      <w:proofErr w:type="spellEnd"/>
      <w:r w:rsidRPr="0066162D">
        <w:rPr>
          <w:rFonts w:ascii="Arial" w:eastAsia="Times New Roman" w:hAnsi="Arial" w:cs="Arial"/>
          <w:sz w:val="20"/>
          <w:szCs w:val="20"/>
          <w:lang w:eastAsia="pt-BR"/>
        </w:rPr>
        <w:t>. 45, I e §2º da Lei 8.666/93?</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Também resulta inviável, pelos mesmos princípios, a participação de escritórios de advocacia em licitações do tipo melhor técnica, a qual, nos termos do art. 46, § 1º, descamba, afinal, para o cotejamento de preços. Obviamente, também a licitação de técnica e preço do art. 46, §2º, que combina aqueles dois requisitos. </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Veja-se julgado do STF:</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Trata-se de contratação de serviços de advogado, definidos pela lei como ‘serviços técnicos profissionais especializados’, isto é, serviços que a Administração deve contratar sem licitação, escolhendo o contratado de acordo, em última instância, com o grau de confiança que ela própria, Administração, deposite na especialização desse contrato. É isso, exatamente isso, o que diz o direito positivo.</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 xml:space="preserve">Vale dizer: nesses casos, o requisito da confiança da Administração em que deseja contratar é subjetivo; </w:t>
      </w:r>
      <w:r w:rsidRPr="0066162D">
        <w:rPr>
          <w:rFonts w:ascii="Arial" w:eastAsia="Times New Roman" w:hAnsi="Arial" w:cs="Arial"/>
          <w:sz w:val="20"/>
          <w:szCs w:val="20"/>
          <w:lang w:eastAsia="pt-BR"/>
        </w:rPr>
        <w:lastRenderedPageBreak/>
        <w:t>logo, a realização de procedimento licitatório para a contratação de tais serviços – procedimento regido, entre outros, pelo princípio do julgamento objetivo – é incompatível com a atribuição de exercício de subjetividade que o direito positivo confere à Administração para a escolha do ‘trabalho essencial e indiscutivelmente mais adequado à plena satisfação do objeto do contrato (cf. o parágrafo 1º do art. 25 da Lei n. 8.666/93). Ademais, a licitação desatenderia ao interesse público na medida em que sujeitaria a Administração a contratar com que, embora vencedor da licitação, segundo a ponderação de critérios objetivos, dela não merecesse o mais elevado grau de confiança (Voto do Min. Eros Grau, no RE n. 466.705, 1ª T., rel. Min. Sepúlveda Pertence, DJ de 28.04.2006)</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Superada a questão subjetiva, relacionada à escolha dos prestadores dos serviços advocatícios, tendo por certo que é uma indicação discricionária, pautada na confiança entre os sujeitos, resta analisarmos quais tipos de serviços que podem ser prestados.</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É corrente na doutrina e na jurisprudência a exigência de que o serviço a ser prestado pelo advogado seja bastante singular, que requisite um esforço e conhecimento</w:t>
      </w:r>
      <w:r w:rsidRPr="00D922A6">
        <w:rPr>
          <w:rFonts w:ascii="Arial" w:eastAsia="Times New Roman" w:hAnsi="Arial" w:cs="Arial"/>
          <w:sz w:val="24"/>
          <w:szCs w:val="24"/>
          <w:lang w:eastAsia="pt-BR"/>
        </w:rPr>
        <w:t> </w:t>
      </w:r>
      <w:r w:rsidRPr="0066162D">
        <w:rPr>
          <w:rFonts w:ascii="Arial" w:eastAsia="Times New Roman" w:hAnsi="Arial" w:cs="Arial"/>
          <w:sz w:val="24"/>
          <w:szCs w:val="24"/>
          <w:u w:val="single"/>
          <w:lang w:eastAsia="pt-BR"/>
        </w:rPr>
        <w:t>singulares</w:t>
      </w:r>
      <w:r w:rsidRPr="00D922A6">
        <w:rPr>
          <w:rFonts w:ascii="Arial" w:eastAsia="Times New Roman" w:hAnsi="Arial" w:cs="Arial"/>
          <w:sz w:val="24"/>
          <w:szCs w:val="24"/>
          <w:lang w:eastAsia="pt-BR"/>
        </w:rPr>
        <w:t> </w:t>
      </w:r>
      <w:r w:rsidRPr="0066162D">
        <w:rPr>
          <w:rFonts w:ascii="Arial" w:eastAsia="Times New Roman" w:hAnsi="Arial" w:cs="Arial"/>
          <w:sz w:val="24"/>
          <w:szCs w:val="24"/>
          <w:lang w:eastAsia="pt-BR"/>
        </w:rPr>
        <w:t>pelo prestador. Não se tem admitido a contratação direta de advogado para a propositura de ações simples, v.g., a propositura de execuções fiscais.</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Dito entendimento é plausível e aceitável, na medida em que o ente que almeje contratar serviços advocatícios sem licitação possua um corpo jurídico próprio. Nesses casos, a contratação terceirizada de advogado somente é aceitável em casos excepcionais, em que a figura do advogado seja o diferencial para a concretização dos escopos da Administração. Não sendo legitima a inexigibilidade para a contratação de serviços rotineiros.</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 xml:space="preserve">Para caracterização de situação de inexigibilidade de licitação, na contratação de serviços advocatícios, é necessária a comprovação de singularidade do serviço a ser prestado, além da notória especialização, devendo-se demonstrar cabalmente a inviabilidade de competição. Quando os serviços advocatícios contratados se referem a atividades rotineiras de assessoria jurídica, tem-se por afastado o requisito da singularidade necessário para caracterizar a inviabilidade de competição. [...] (TCU. Acórdão n. 2.012/2007, Plenário, rel. Min. Augusto </w:t>
      </w:r>
      <w:proofErr w:type="spellStart"/>
      <w:r w:rsidRPr="0066162D">
        <w:rPr>
          <w:rFonts w:ascii="Arial" w:eastAsia="Times New Roman" w:hAnsi="Arial" w:cs="Arial"/>
          <w:sz w:val="20"/>
          <w:szCs w:val="20"/>
          <w:lang w:eastAsia="pt-BR"/>
        </w:rPr>
        <w:t>Sherman</w:t>
      </w:r>
      <w:proofErr w:type="spellEnd"/>
      <w:r w:rsidRPr="0066162D">
        <w:rPr>
          <w:rFonts w:ascii="Arial" w:eastAsia="Times New Roman" w:hAnsi="Arial" w:cs="Arial"/>
          <w:sz w:val="20"/>
          <w:szCs w:val="20"/>
          <w:lang w:eastAsia="pt-BR"/>
        </w:rPr>
        <w:t xml:space="preserve"> Cavalcanti)</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Desse modo, nada obstante União, Estados e Distrito Federal terem suas entidades de representação judicial, há situações em que o Poder Público poderá contratar serviços advocatícios alheios à estrutura de seu corpo jurídico. Tal possibilidade se mostra viável, repita-se, frente a particularidades de situações que requeiram um tratamento diferenciado, seja uma causa de grande complexidade ou interesse para o ente, seja quando o advogado é diferencial para os escopos almejados.</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Podemos citar como exemplo a possibilidade de contratação de advogado de renome para a defesa de causa complexa, ou elaboração de parecer que servirá de subsidio para os procuradores do ente; a defesa do chefe do executivo em processo onde se apura a prática de crime de responsabilidade ou improbidade administrativa; a contratação de advogado especializado em área em que os procuradores não possuem um conhecimento suficiente para querela específica.</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Ao conferir aos procuradores dos Estados e do Distrito Federal a sua representação judicial, o art. 132 da Constituição veicula norma de organização administrativa,</w:t>
      </w:r>
      <w:r w:rsidRPr="00D922A6">
        <w:rPr>
          <w:rFonts w:ascii="Arial" w:eastAsia="Times New Roman" w:hAnsi="Arial" w:cs="Arial"/>
          <w:sz w:val="24"/>
          <w:szCs w:val="24"/>
          <w:lang w:eastAsia="pt-BR"/>
        </w:rPr>
        <w:t> </w:t>
      </w:r>
      <w:r w:rsidRPr="00D922A6">
        <w:rPr>
          <w:rFonts w:ascii="Arial" w:eastAsia="Times New Roman" w:hAnsi="Arial" w:cs="Arial"/>
          <w:b/>
          <w:bCs/>
          <w:sz w:val="24"/>
          <w:szCs w:val="24"/>
          <w:lang w:eastAsia="pt-BR"/>
        </w:rPr>
        <w:t>sem tolher a capacidade de tais entidades federativas para conferi mandato </w:t>
      </w:r>
      <w:r w:rsidRPr="00D922A6">
        <w:rPr>
          <w:rFonts w:ascii="Arial" w:eastAsia="Times New Roman" w:hAnsi="Arial" w:cs="Arial"/>
          <w:b/>
          <w:bCs/>
          <w:i/>
          <w:iCs/>
          <w:sz w:val="24"/>
          <w:szCs w:val="24"/>
          <w:lang w:eastAsia="pt-BR"/>
        </w:rPr>
        <w:t>ad judicia</w:t>
      </w:r>
      <w:r w:rsidRPr="00D922A6">
        <w:rPr>
          <w:rFonts w:ascii="Arial" w:eastAsia="Times New Roman" w:hAnsi="Arial" w:cs="Arial"/>
          <w:b/>
          <w:bCs/>
          <w:sz w:val="24"/>
          <w:szCs w:val="24"/>
          <w:lang w:eastAsia="pt-BR"/>
        </w:rPr>
        <w:t> a outros advogados para causas especiais</w:t>
      </w:r>
      <w:r w:rsidRPr="0066162D">
        <w:rPr>
          <w:rFonts w:ascii="Arial" w:eastAsia="Times New Roman" w:hAnsi="Arial" w:cs="Arial"/>
          <w:sz w:val="24"/>
          <w:szCs w:val="24"/>
          <w:lang w:eastAsia="pt-BR"/>
        </w:rPr>
        <w:t>. (STF, Per. 409-AgRg, Rel. Min. Celso de Mello, DJ de 29-6-1990, grifo nosso)</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No mais, a contratação por inexigibilidade encontra guarida no entendimento do Pretório Excelso:</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Ação penal pública. Contratação emergencial de advogados face ao caos administrativo herdado da administração municipal sucedida. Licitação. Art. 37, XXI, da Constituição do Brasil. Dispensa de licitação não configurada. Inexigibilidade de licitação caracterizada pela notória especialização dos profissionais contratados, comprovada nos autos, aliada à confiança da Administração por eles desfrutada. Previsão legal. A hipótese dos autos não é de dispensa de licitação, eis que não caracterizado o requisito da emergência. Caracterização de situação na qual há inviabilidade de competição e, logo, inexigibilidade de licitação. ‘Serviços técnicos profissionais especializados’ são serviços que a Administração deve contratar sem licitação, escolhendo o contratado de acordo, em última instância, com o grau de confiança que ela própria, Administração, deposite na especialização desse contratado. Nesses casos, o requisito da confiança da Administração em quem deseje contratar é subjetivo. Daí que a realização de procedimento licitatório para a contratação de tais serviços – procedimento regido, entre outros, pelo princípio do julgamento objetivo – é incompatível com a atribuição de exercício de subjetividade que o direito positivo confere à Administração para a escolha do ‘trabalho essencial e indiscutivelmente mais adequado à plena satisfação do objeto do contrato’ (cf. o § 1º do art. 25 da Lei 8.666/1993). O que a norma extraída do texto legal exige é a notória especialização, associada ao elemento subjetivo confiança. Há, no caso concreto, requisitos suficientes para o seu enquadramento em situação na qual não incide o dever de licitar, ou seja, de inexigibilidade de licitação: os profissionais contratados possuem notória especialização, comprovada nos autos, além de desfrutarem da confiança da Administração. Ação Penal que se julga improcedente." (</w:t>
      </w:r>
      <w:r w:rsidRPr="00D922A6">
        <w:rPr>
          <w:rFonts w:ascii="Arial" w:eastAsia="Times New Roman" w:hAnsi="Arial" w:cs="Arial"/>
          <w:b/>
          <w:bCs/>
          <w:sz w:val="20"/>
          <w:szCs w:val="20"/>
          <w:lang w:eastAsia="pt-BR"/>
        </w:rPr>
        <w:t>AP 348, </w:t>
      </w:r>
      <w:r w:rsidRPr="0066162D">
        <w:rPr>
          <w:rFonts w:ascii="Arial" w:eastAsia="Times New Roman" w:hAnsi="Arial" w:cs="Arial"/>
          <w:sz w:val="20"/>
          <w:szCs w:val="20"/>
          <w:lang w:eastAsia="pt-BR"/>
        </w:rPr>
        <w:t>Rel. Min. Eros Grau, julgamento em 15-12-2006, Plenário,</w:t>
      </w:r>
      <w:r w:rsidRPr="00D922A6">
        <w:rPr>
          <w:rFonts w:ascii="Arial" w:eastAsia="Times New Roman" w:hAnsi="Arial" w:cs="Arial"/>
          <w:sz w:val="20"/>
          <w:szCs w:val="20"/>
          <w:lang w:eastAsia="pt-BR"/>
        </w:rPr>
        <w:t> </w:t>
      </w:r>
      <w:r w:rsidRPr="00D922A6">
        <w:rPr>
          <w:rFonts w:ascii="Arial" w:eastAsia="Times New Roman" w:hAnsi="Arial" w:cs="Arial"/>
          <w:i/>
          <w:iCs/>
          <w:sz w:val="20"/>
          <w:szCs w:val="20"/>
          <w:lang w:eastAsia="pt-BR"/>
        </w:rPr>
        <w:t>DJ</w:t>
      </w:r>
      <w:r w:rsidRPr="00D922A6">
        <w:rPr>
          <w:rFonts w:ascii="Arial" w:eastAsia="Times New Roman" w:hAnsi="Arial" w:cs="Arial"/>
          <w:sz w:val="20"/>
          <w:szCs w:val="20"/>
          <w:lang w:eastAsia="pt-BR"/>
        </w:rPr>
        <w:t> </w:t>
      </w:r>
      <w:r w:rsidRPr="0066162D">
        <w:rPr>
          <w:rFonts w:ascii="Arial" w:eastAsia="Times New Roman" w:hAnsi="Arial" w:cs="Arial"/>
          <w:sz w:val="20"/>
          <w:szCs w:val="20"/>
          <w:lang w:eastAsia="pt-BR"/>
        </w:rPr>
        <w:t>de 3-8-2007.)</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O Tribunal de Contas da União sumulou interpretação legal sobre a inexigibilidade de licitação, com o fito de evitar confusões hermenêuticas, no enunciado n. 252/2010 do seguinte teor:</w:t>
      </w:r>
      <w:r w:rsidRPr="00D922A6">
        <w:rPr>
          <w:rFonts w:ascii="Arial" w:eastAsia="Times New Roman" w:hAnsi="Arial" w:cs="Arial"/>
          <w:b/>
          <w:bCs/>
          <w:sz w:val="24"/>
          <w:szCs w:val="24"/>
          <w:lang w:eastAsia="pt-BR"/>
        </w:rPr>
        <w:t> </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A inviabilidade de competição para a contratação de serviços técnicos, a que alude o inciso II do art. 25 da Lei nº 8.666/1993, decorre da presença simultânea de três requisitos: serviço técnico especializado, entre os mencionados no art. 13 da referida lei, natureza singular do serviço e notória especialização do contratado.</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Não obstante, pretende</w:t>
      </w:r>
      <w:r w:rsidRPr="00D922A6">
        <w:rPr>
          <w:rFonts w:ascii="Arial" w:eastAsia="Times New Roman" w:hAnsi="Arial" w:cs="Arial"/>
          <w:sz w:val="24"/>
          <w:szCs w:val="24"/>
          <w:lang w:eastAsia="pt-BR"/>
        </w:rPr>
        <w:t>-se</w:t>
      </w:r>
      <w:r w:rsidRPr="0066162D">
        <w:rPr>
          <w:rFonts w:ascii="Arial" w:eastAsia="Times New Roman" w:hAnsi="Arial" w:cs="Arial"/>
          <w:sz w:val="24"/>
          <w:szCs w:val="24"/>
          <w:lang w:eastAsia="pt-BR"/>
        </w:rPr>
        <w:t xml:space="preserve"> alargar a possibilidade de contratação direta, e desse modo, minorar os requisitos para a inexigibilidade, quando o ente, em casos de municípios e figuras da administração indireta, não possua um corpo jurídico próprio. Dessa maneira, os entes que não possuam uma Procuradoria Jurídica própria podem contratar serviços advocatícios por inexigibilidade de licitação, inclusive para a realização de serviços rotineiros.</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Tal entendimento exsurge da própria lógica do sistema constitucional. Temos como corolário do postulado da unidade do ordenamento jurídico, juntamente com a supremacia dos preceitos constitucionais, a necessidade de uma interpretação da legislação infraconstitucional, à luz das normas constitucionais, que garanta a unidade da vontade constituinte originária. </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No que toca aos Municípios que não possuem uma Procuradoria, a contratação direta de advogado é perfeitamente realizável, tendo em vista a necessidade de tratamento uniforme aos entes federados (princípio da simetria) e da singularidade dos serviços advocatícios. Se em município que possua Procuradoria pode-se ter como Procurador-Chefe alguém de confiança do Prefeito, afora a possibilidade de contratação direta em situações peculiares, é plenamente racional e justificável que nos municípios onde não haja Procuradoria Jurídica, seja permitida a contratação direta de serviços advocatícios por causídico de confiança do Prefeito Municipal.</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Aos entes da administração indireta o raciocínio é idêntico: aos que possuem procuradoria jurídica a contratação direta é excepcional, já aos que não possuem uma procuradoria jurídica, a contratação é direta, com os requisitos</w:t>
      </w:r>
      <w:r w:rsidRPr="00D922A6">
        <w:rPr>
          <w:rFonts w:ascii="Arial" w:eastAsia="Times New Roman" w:hAnsi="Arial" w:cs="Arial"/>
          <w:sz w:val="24"/>
          <w:szCs w:val="24"/>
          <w:lang w:eastAsia="pt-BR"/>
        </w:rPr>
        <w:t> </w:t>
      </w:r>
      <w:r w:rsidRPr="0066162D">
        <w:rPr>
          <w:rFonts w:ascii="Arial" w:eastAsia="Times New Roman" w:hAnsi="Arial" w:cs="Arial"/>
          <w:sz w:val="24"/>
          <w:szCs w:val="24"/>
          <w:u w:val="single"/>
          <w:lang w:eastAsia="pt-BR"/>
        </w:rPr>
        <w:t>jurisprudenciais</w:t>
      </w:r>
      <w:r w:rsidRPr="00D922A6">
        <w:rPr>
          <w:rFonts w:ascii="Arial" w:eastAsia="Times New Roman" w:hAnsi="Arial" w:cs="Arial"/>
          <w:sz w:val="24"/>
          <w:szCs w:val="24"/>
          <w:u w:val="single"/>
          <w:lang w:eastAsia="pt-BR"/>
        </w:rPr>
        <w:t> </w:t>
      </w:r>
      <w:r w:rsidRPr="0066162D">
        <w:rPr>
          <w:rFonts w:ascii="Arial" w:eastAsia="Times New Roman" w:hAnsi="Arial" w:cs="Arial"/>
          <w:sz w:val="24"/>
          <w:szCs w:val="24"/>
          <w:lang w:eastAsia="pt-BR"/>
        </w:rPr>
        <w:t>minorados.</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Mas é claro que em todas as situações deve o administrador zelar pela efetividade dos princípios constitucionais administrativos: moralidade, publicidade, eficiência, economicidade, dentre outros. Com a ideia contemporânea de normatização dos princípios, seu cumprimento se faz imperioso e indispensável na atual conjuntura constitucional. Importante frisar a economicidade, visto que a própria lei de licitação dispõe no § 2º do art. 25 que se comprovado o superfaturamento, respondem solidariamente o prestador de serviços e o agente público responsável pela contratação.</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O eminente professor José dos Santos Carvalho Filho aborda com propriedade a questão:     </w:t>
      </w:r>
    </w:p>
    <w:p w:rsidR="0066162D" w:rsidRPr="0066162D" w:rsidRDefault="0066162D" w:rsidP="0066162D">
      <w:pPr>
        <w:shd w:val="clear" w:color="auto" w:fill="FFFFFF"/>
        <w:spacing w:after="0" w:afterAutospacing="1" w:line="360" w:lineRule="auto"/>
        <w:ind w:left="3402" w:firstLine="480"/>
        <w:jc w:val="both"/>
        <w:rPr>
          <w:rFonts w:ascii="Arial" w:eastAsia="Times New Roman" w:hAnsi="Arial" w:cs="Arial"/>
          <w:sz w:val="20"/>
          <w:szCs w:val="20"/>
          <w:lang w:eastAsia="pt-BR"/>
        </w:rPr>
      </w:pPr>
      <w:r w:rsidRPr="0066162D">
        <w:rPr>
          <w:rFonts w:ascii="Arial" w:eastAsia="Times New Roman" w:hAnsi="Arial" w:cs="Arial"/>
          <w:sz w:val="20"/>
          <w:szCs w:val="20"/>
          <w:lang w:eastAsia="pt-BR"/>
        </w:rPr>
        <w:t xml:space="preserve">Lamentavelmente, alguns administradores desonestos ou despreparados têm recorrido a essa modalidade para escapar àquele princípio, cometendo flagrante desvio de finalidade e ofensa ao princípio da moralidade e, </w:t>
      </w:r>
      <w:proofErr w:type="spellStart"/>
      <w:r w:rsidRPr="0066162D">
        <w:rPr>
          <w:rFonts w:ascii="Arial" w:eastAsia="Times New Roman" w:hAnsi="Arial" w:cs="Arial"/>
          <w:sz w:val="20"/>
          <w:szCs w:val="20"/>
          <w:lang w:eastAsia="pt-BR"/>
        </w:rPr>
        <w:t>freqüentemente</w:t>
      </w:r>
      <w:proofErr w:type="spellEnd"/>
      <w:r w:rsidRPr="0066162D">
        <w:rPr>
          <w:rFonts w:ascii="Arial" w:eastAsia="Times New Roman" w:hAnsi="Arial" w:cs="Arial"/>
          <w:sz w:val="20"/>
          <w:szCs w:val="20"/>
          <w:lang w:eastAsia="pt-BR"/>
        </w:rPr>
        <w:t>, provocando graves prejuízos à Administração. Desse modo, cabe aos Tribunais de Contas atuar com rigor na verificação desses casos de inexigibilidade de licitação em virtude da notória especialização do contratado, bem como ao Judiciário invalidar tais contratos e encaminhar ao Ministério Público representação no sentido de ser promovida a responsabilidade penal e administrativa dos servidores responsáveis por essa espécie de improbidade ou incompetência.</w:t>
      </w:r>
      <w:r w:rsidRPr="00D922A6">
        <w:rPr>
          <w:rFonts w:ascii="Arial" w:eastAsia="Times New Roman" w:hAnsi="Arial" w:cs="Arial"/>
          <w:sz w:val="20"/>
          <w:szCs w:val="20"/>
          <w:lang w:eastAsia="pt-BR"/>
        </w:rPr>
        <w:t> </w:t>
      </w:r>
      <w:r w:rsidRPr="0066162D">
        <w:rPr>
          <w:rFonts w:ascii="Arial" w:eastAsia="Times New Roman" w:hAnsi="Arial" w:cs="Arial"/>
          <w:sz w:val="20"/>
          <w:szCs w:val="20"/>
          <w:lang w:eastAsia="pt-BR"/>
        </w:rPr>
        <w:t>  </w:t>
      </w:r>
    </w:p>
    <w:p w:rsidR="0066162D" w:rsidRPr="00D922A6"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66162D">
        <w:rPr>
          <w:rFonts w:ascii="Arial" w:eastAsia="Times New Roman" w:hAnsi="Arial" w:cs="Arial"/>
          <w:sz w:val="24"/>
          <w:szCs w:val="24"/>
          <w:lang w:eastAsia="pt-BR"/>
        </w:rPr>
        <w:t xml:space="preserve">Dessa maneira, podemos concluir que para os entes, tanto da administração direta quanto da administração indireta, que possuam em sua estrutura uma Procuradoria Jurídica a contratação direta de advogado é excepcional, devendo-se comprovar os requisitos </w:t>
      </w:r>
      <w:proofErr w:type="spellStart"/>
      <w:r w:rsidRPr="0066162D">
        <w:rPr>
          <w:rFonts w:ascii="Arial" w:eastAsia="Times New Roman" w:hAnsi="Arial" w:cs="Arial"/>
          <w:sz w:val="24"/>
          <w:szCs w:val="24"/>
          <w:lang w:eastAsia="pt-BR"/>
        </w:rPr>
        <w:t>suso</w:t>
      </w:r>
      <w:proofErr w:type="spellEnd"/>
      <w:r w:rsidRPr="0066162D">
        <w:rPr>
          <w:rFonts w:ascii="Arial" w:eastAsia="Times New Roman" w:hAnsi="Arial" w:cs="Arial"/>
          <w:sz w:val="24"/>
          <w:szCs w:val="24"/>
          <w:lang w:eastAsia="pt-BR"/>
        </w:rPr>
        <w:t xml:space="preserve"> mencionados. Já quanto aos entes que não possuem uma Procuradoria Jurídica, a contratação dir</w:t>
      </w:r>
      <w:bookmarkStart w:id="1" w:name="_GoBack"/>
      <w:bookmarkEnd w:id="1"/>
      <w:r w:rsidRPr="0066162D">
        <w:rPr>
          <w:rFonts w:ascii="Arial" w:eastAsia="Times New Roman" w:hAnsi="Arial" w:cs="Arial"/>
          <w:sz w:val="24"/>
          <w:szCs w:val="24"/>
          <w:lang w:eastAsia="pt-BR"/>
        </w:rPr>
        <w:t>eta de advogado é viável em situações mais amplas. Respeitada, em todas as situações, a economicidade e o zelo pelo bem comum.</w:t>
      </w:r>
    </w:p>
    <w:p w:rsidR="0066162D" w:rsidRPr="00D922A6"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D922A6">
        <w:rPr>
          <w:rFonts w:ascii="Arial" w:eastAsia="Times New Roman" w:hAnsi="Arial" w:cs="Arial"/>
          <w:sz w:val="24"/>
          <w:szCs w:val="24"/>
          <w:lang w:eastAsia="pt-BR"/>
        </w:rPr>
        <w:t>Ainda, a contratação de profissional se dará com base no artigo 57, II, que diz:</w:t>
      </w:r>
    </w:p>
    <w:p w:rsidR="0066162D" w:rsidRPr="00D922A6"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p>
    <w:p w:rsidR="0066162D" w:rsidRPr="00D922A6" w:rsidRDefault="0066162D" w:rsidP="0066162D">
      <w:pPr>
        <w:shd w:val="clear" w:color="auto" w:fill="FFFFFF"/>
        <w:spacing w:after="0" w:afterAutospacing="1" w:line="360" w:lineRule="auto"/>
        <w:ind w:left="1701"/>
        <w:jc w:val="both"/>
        <w:rPr>
          <w:rFonts w:ascii="Arial" w:eastAsia="Times New Roman" w:hAnsi="Arial" w:cs="Arial"/>
          <w:sz w:val="20"/>
          <w:szCs w:val="20"/>
          <w:lang w:eastAsia="pt-BR"/>
        </w:rPr>
      </w:pPr>
      <w:r w:rsidRPr="00D922A6">
        <w:rPr>
          <w:rFonts w:ascii="Arial" w:eastAsia="Times New Roman" w:hAnsi="Arial" w:cs="Arial"/>
          <w:b/>
          <w:bCs/>
          <w:sz w:val="20"/>
          <w:szCs w:val="20"/>
          <w:lang w:eastAsia="pt-BR"/>
        </w:rPr>
        <w:t>Art. 57.</w:t>
      </w:r>
      <w:r w:rsidRPr="00D922A6">
        <w:rPr>
          <w:rFonts w:ascii="Arial" w:eastAsia="Times New Roman" w:hAnsi="Arial" w:cs="Arial"/>
          <w:sz w:val="20"/>
          <w:szCs w:val="20"/>
          <w:lang w:eastAsia="pt-BR"/>
        </w:rPr>
        <w:t> A duração dos contratos regidos por esta Lei ficará adstrita à vigência dos respectivos créditos orçamentários, exceto quanto aos relativos:</w:t>
      </w:r>
    </w:p>
    <w:p w:rsidR="0066162D" w:rsidRPr="00D922A6" w:rsidRDefault="0066162D" w:rsidP="0066162D">
      <w:pPr>
        <w:shd w:val="clear" w:color="auto" w:fill="FFFFFF"/>
        <w:spacing w:after="0" w:afterAutospacing="1" w:line="360" w:lineRule="auto"/>
        <w:ind w:left="1701"/>
        <w:jc w:val="both"/>
        <w:rPr>
          <w:rFonts w:ascii="Arial" w:eastAsia="Times New Roman" w:hAnsi="Arial" w:cs="Arial"/>
          <w:sz w:val="20"/>
          <w:szCs w:val="20"/>
          <w:lang w:eastAsia="pt-BR"/>
        </w:rPr>
      </w:pPr>
      <w:r w:rsidRPr="00D922A6">
        <w:rPr>
          <w:rFonts w:ascii="Arial" w:eastAsia="Times New Roman" w:hAnsi="Arial" w:cs="Arial"/>
          <w:b/>
          <w:bCs/>
          <w:sz w:val="20"/>
          <w:szCs w:val="20"/>
          <w:lang w:eastAsia="pt-BR"/>
        </w:rPr>
        <w:t>II </w:t>
      </w:r>
      <w:r w:rsidRPr="00D922A6">
        <w:rPr>
          <w:rFonts w:ascii="Arial" w:eastAsia="Times New Roman" w:hAnsi="Arial" w:cs="Arial"/>
          <w:sz w:val="20"/>
          <w:szCs w:val="20"/>
          <w:lang w:eastAsia="pt-BR"/>
        </w:rPr>
        <w:t xml:space="preserve">- à prestação de serviços a serem executados de forma contínua, que poderão ter a sua duração prorrogada por iguais e sucessivos períodos com vistas à obtenção de preços e condições mais vantajosas para a administração, limitada a sessenta meses; </w:t>
      </w:r>
    </w:p>
    <w:p w:rsidR="0066162D" w:rsidRPr="00D922A6" w:rsidRDefault="0066162D" w:rsidP="0066162D">
      <w:pPr>
        <w:shd w:val="clear" w:color="auto" w:fill="FFFFFF"/>
        <w:spacing w:after="0" w:afterAutospacing="1" w:line="360" w:lineRule="auto"/>
        <w:ind w:left="1701"/>
        <w:jc w:val="both"/>
        <w:rPr>
          <w:rFonts w:ascii="Arial" w:eastAsia="Times New Roman" w:hAnsi="Arial" w:cs="Arial"/>
          <w:sz w:val="24"/>
          <w:szCs w:val="24"/>
          <w:lang w:eastAsia="pt-BR"/>
        </w:rPr>
      </w:pPr>
    </w:p>
    <w:p w:rsid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sidRPr="00D922A6">
        <w:rPr>
          <w:rFonts w:ascii="Arial" w:eastAsia="Times New Roman" w:hAnsi="Arial" w:cs="Arial"/>
          <w:sz w:val="24"/>
          <w:szCs w:val="24"/>
          <w:lang w:eastAsia="pt-BR"/>
        </w:rPr>
        <w:t>Portanto, plenamente viável a contratação por meio de Inexigibilidade de Licitação</w:t>
      </w:r>
      <w:r w:rsidR="00D922A6">
        <w:rPr>
          <w:rFonts w:ascii="Arial" w:eastAsia="Times New Roman" w:hAnsi="Arial" w:cs="Arial"/>
          <w:sz w:val="24"/>
          <w:szCs w:val="24"/>
          <w:lang w:eastAsia="pt-BR"/>
        </w:rPr>
        <w:t>, nos artigos supramencionados.</w:t>
      </w:r>
    </w:p>
    <w:p w:rsidR="00D922A6" w:rsidRPr="00D922A6" w:rsidRDefault="00D922A6" w:rsidP="0066162D">
      <w:pPr>
        <w:shd w:val="clear" w:color="auto" w:fill="FFFFFF"/>
        <w:spacing w:after="0" w:afterAutospacing="1" w:line="360" w:lineRule="auto"/>
        <w:ind w:firstLine="1701"/>
        <w:jc w:val="both"/>
        <w:rPr>
          <w:rFonts w:ascii="Arial" w:eastAsia="Times New Roman" w:hAnsi="Arial" w:cs="Arial"/>
          <w:sz w:val="24"/>
          <w:szCs w:val="24"/>
          <w:lang w:eastAsia="pt-BR"/>
        </w:rPr>
      </w:pPr>
      <w:r>
        <w:rPr>
          <w:rFonts w:ascii="Arial" w:eastAsia="Times New Roman" w:hAnsi="Arial" w:cs="Arial"/>
          <w:sz w:val="24"/>
          <w:szCs w:val="24"/>
          <w:lang w:eastAsia="pt-BR"/>
        </w:rPr>
        <w:t>É o parecer!</w:t>
      </w:r>
    </w:p>
    <w:p w:rsidR="0066162D" w:rsidRPr="0066162D" w:rsidRDefault="0066162D" w:rsidP="0066162D">
      <w:pPr>
        <w:shd w:val="clear" w:color="auto" w:fill="FFFFFF"/>
        <w:spacing w:after="0" w:afterAutospacing="1" w:line="360" w:lineRule="auto"/>
        <w:ind w:firstLine="1701"/>
        <w:jc w:val="both"/>
        <w:rPr>
          <w:rFonts w:ascii="Arial" w:eastAsia="Times New Roman" w:hAnsi="Arial" w:cs="Arial"/>
          <w:sz w:val="24"/>
          <w:szCs w:val="24"/>
          <w:lang w:eastAsia="pt-BR"/>
        </w:rPr>
      </w:pPr>
    </w:p>
    <w:p w:rsidR="008053E8" w:rsidRPr="00D922A6" w:rsidRDefault="008053E8" w:rsidP="0066162D">
      <w:pPr>
        <w:spacing w:line="360" w:lineRule="auto"/>
        <w:rPr>
          <w:sz w:val="24"/>
          <w:szCs w:val="24"/>
        </w:rPr>
      </w:pPr>
    </w:p>
    <w:sectPr w:rsidR="008053E8" w:rsidRPr="00D922A6" w:rsidSect="00AA2C3F">
      <w:pgSz w:w="11906" w:h="16838"/>
      <w:pgMar w:top="2269"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2D"/>
    <w:rsid w:val="00052FA3"/>
    <w:rsid w:val="0066162D"/>
    <w:rsid w:val="008053E8"/>
    <w:rsid w:val="00AA2C3F"/>
    <w:rsid w:val="00D922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E59F4-A389-41DC-8177-AC5402A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6162D"/>
    <w:rPr>
      <w:b/>
      <w:bCs/>
    </w:rPr>
  </w:style>
  <w:style w:type="character" w:styleId="Refdenotaderodap">
    <w:name w:val="footnote reference"/>
    <w:basedOn w:val="Fontepargpadro"/>
    <w:uiPriority w:val="99"/>
    <w:semiHidden/>
    <w:unhideWhenUsed/>
    <w:rsid w:val="0066162D"/>
  </w:style>
  <w:style w:type="character" w:customStyle="1" w:styleId="apple-converted-space">
    <w:name w:val="apple-converted-space"/>
    <w:basedOn w:val="Fontepargpadro"/>
    <w:rsid w:val="0066162D"/>
  </w:style>
  <w:style w:type="character" w:styleId="nfase">
    <w:name w:val="Emphasis"/>
    <w:basedOn w:val="Fontepargpadro"/>
    <w:uiPriority w:val="20"/>
    <w:qFormat/>
    <w:rsid w:val="0066162D"/>
    <w:rPr>
      <w:i/>
      <w:iCs/>
    </w:rPr>
  </w:style>
  <w:style w:type="paragraph" w:styleId="Textodebalo">
    <w:name w:val="Balloon Text"/>
    <w:basedOn w:val="Normal"/>
    <w:link w:val="TextodebaloChar"/>
    <w:uiPriority w:val="99"/>
    <w:semiHidden/>
    <w:unhideWhenUsed/>
    <w:rsid w:val="00052F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2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51900">
      <w:bodyDiv w:val="1"/>
      <w:marLeft w:val="0"/>
      <w:marRight w:val="0"/>
      <w:marTop w:val="0"/>
      <w:marBottom w:val="0"/>
      <w:divBdr>
        <w:top w:val="none" w:sz="0" w:space="0" w:color="auto"/>
        <w:left w:val="none" w:sz="0" w:space="0" w:color="auto"/>
        <w:bottom w:val="none" w:sz="0" w:space="0" w:color="auto"/>
        <w:right w:val="none" w:sz="0" w:space="0" w:color="auto"/>
      </w:divBdr>
    </w:div>
    <w:div w:id="1289704743">
      <w:bodyDiv w:val="1"/>
      <w:marLeft w:val="0"/>
      <w:marRight w:val="0"/>
      <w:marTop w:val="0"/>
      <w:marBottom w:val="0"/>
      <w:divBdr>
        <w:top w:val="none" w:sz="0" w:space="0" w:color="auto"/>
        <w:left w:val="none" w:sz="0" w:space="0" w:color="auto"/>
        <w:bottom w:val="none" w:sz="0" w:space="0" w:color="auto"/>
        <w:right w:val="none" w:sz="0" w:space="0" w:color="auto"/>
      </w:divBdr>
      <w:divsChild>
        <w:div w:id="74861078">
          <w:marLeft w:val="300"/>
          <w:marRight w:val="0"/>
          <w:marTop w:val="0"/>
          <w:marBottom w:val="0"/>
          <w:divBdr>
            <w:top w:val="none" w:sz="0" w:space="0" w:color="auto"/>
            <w:left w:val="none" w:sz="0" w:space="0" w:color="auto"/>
            <w:bottom w:val="none" w:sz="0" w:space="0" w:color="auto"/>
            <w:right w:val="none" w:sz="0" w:space="0" w:color="auto"/>
          </w:divBdr>
        </w:div>
        <w:div w:id="1590388642">
          <w:marLeft w:val="300"/>
          <w:marRight w:val="0"/>
          <w:marTop w:val="0"/>
          <w:marBottom w:val="0"/>
          <w:divBdr>
            <w:top w:val="none" w:sz="0" w:space="0" w:color="auto"/>
            <w:left w:val="none" w:sz="0" w:space="0" w:color="auto"/>
            <w:bottom w:val="none" w:sz="0" w:space="0" w:color="auto"/>
            <w:right w:val="none" w:sz="0" w:space="0" w:color="auto"/>
          </w:divBdr>
        </w:div>
        <w:div w:id="1369842962">
          <w:marLeft w:val="300"/>
          <w:marRight w:val="0"/>
          <w:marTop w:val="0"/>
          <w:marBottom w:val="0"/>
          <w:divBdr>
            <w:top w:val="none" w:sz="0" w:space="0" w:color="auto"/>
            <w:left w:val="none" w:sz="0" w:space="0" w:color="auto"/>
            <w:bottom w:val="none" w:sz="0" w:space="0" w:color="auto"/>
            <w:right w:val="none" w:sz="0" w:space="0" w:color="auto"/>
          </w:divBdr>
        </w:div>
        <w:div w:id="1080254826">
          <w:marLeft w:val="300"/>
          <w:marRight w:val="0"/>
          <w:marTop w:val="0"/>
          <w:marBottom w:val="0"/>
          <w:divBdr>
            <w:top w:val="none" w:sz="0" w:space="0" w:color="auto"/>
            <w:left w:val="none" w:sz="0" w:space="0" w:color="auto"/>
            <w:bottom w:val="none" w:sz="0" w:space="0" w:color="auto"/>
            <w:right w:val="none" w:sz="0" w:space="0" w:color="auto"/>
          </w:divBdr>
        </w:div>
      </w:divsChild>
    </w:div>
    <w:div w:id="1392077505">
      <w:bodyDiv w:val="1"/>
      <w:marLeft w:val="0"/>
      <w:marRight w:val="0"/>
      <w:marTop w:val="0"/>
      <w:marBottom w:val="0"/>
      <w:divBdr>
        <w:top w:val="none" w:sz="0" w:space="0" w:color="auto"/>
        <w:left w:val="none" w:sz="0" w:space="0" w:color="auto"/>
        <w:bottom w:val="none" w:sz="0" w:space="0" w:color="auto"/>
        <w:right w:val="none" w:sz="0" w:space="0" w:color="auto"/>
      </w:divBdr>
      <w:divsChild>
        <w:div w:id="612786190">
          <w:marLeft w:val="300"/>
          <w:marRight w:val="0"/>
          <w:marTop w:val="0"/>
          <w:marBottom w:val="0"/>
          <w:divBdr>
            <w:top w:val="none" w:sz="0" w:space="0" w:color="auto"/>
            <w:left w:val="none" w:sz="0" w:space="0" w:color="auto"/>
            <w:bottom w:val="none" w:sz="0" w:space="0" w:color="auto"/>
            <w:right w:val="none" w:sz="0" w:space="0" w:color="auto"/>
          </w:divBdr>
        </w:div>
        <w:div w:id="367875787">
          <w:marLeft w:val="300"/>
          <w:marRight w:val="0"/>
          <w:marTop w:val="0"/>
          <w:marBottom w:val="0"/>
          <w:divBdr>
            <w:top w:val="none" w:sz="0" w:space="0" w:color="auto"/>
            <w:left w:val="none" w:sz="0" w:space="0" w:color="auto"/>
            <w:bottom w:val="none" w:sz="0" w:space="0" w:color="auto"/>
            <w:right w:val="none" w:sz="0" w:space="0" w:color="auto"/>
          </w:divBdr>
        </w:div>
        <w:div w:id="1130515236">
          <w:marLeft w:val="300"/>
          <w:marRight w:val="0"/>
          <w:marTop w:val="0"/>
          <w:marBottom w:val="0"/>
          <w:divBdr>
            <w:top w:val="none" w:sz="0" w:space="0" w:color="auto"/>
            <w:left w:val="none" w:sz="0" w:space="0" w:color="auto"/>
            <w:bottom w:val="none" w:sz="0" w:space="0" w:color="auto"/>
            <w:right w:val="none" w:sz="0" w:space="0" w:color="auto"/>
          </w:divBdr>
        </w:div>
        <w:div w:id="117592358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teudojuridico.com.br/artigo,inexigibilidade-de-licitacao-para-contratacao-de-servicos-advocaticios-uma-perspectiva-constitucional-em-vista,33623.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13274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Bastista</dc:creator>
  <cp:lastModifiedBy>Usuario</cp:lastModifiedBy>
  <cp:revision>2</cp:revision>
  <cp:lastPrinted>2017-03-06T17:06:00Z</cp:lastPrinted>
  <dcterms:created xsi:type="dcterms:W3CDTF">2017-03-06T17:09:00Z</dcterms:created>
  <dcterms:modified xsi:type="dcterms:W3CDTF">2017-03-06T17:09:00Z</dcterms:modified>
</cp:coreProperties>
</file>