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5F0" w:rsidRDefault="002355F0" w:rsidP="008B130E">
      <w:pPr>
        <w:jc w:val="center"/>
        <w:rPr>
          <w:rFonts w:ascii="Tahoma" w:hAnsi="Tahoma" w:cs="Tahoma"/>
          <w:b/>
          <w:sz w:val="24"/>
          <w:szCs w:val="24"/>
        </w:rPr>
      </w:pPr>
    </w:p>
    <w:p w:rsidR="008B130E" w:rsidRDefault="008B130E" w:rsidP="008B130E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PARECER JURÍDICO</w:t>
      </w:r>
    </w:p>
    <w:p w:rsidR="008B130E" w:rsidRDefault="008B130E" w:rsidP="008B130E">
      <w:pPr>
        <w:jc w:val="center"/>
        <w:rPr>
          <w:rFonts w:ascii="Tahoma" w:hAnsi="Tahoma" w:cs="Tahoma"/>
          <w:b/>
          <w:sz w:val="24"/>
          <w:szCs w:val="24"/>
        </w:rPr>
      </w:pPr>
    </w:p>
    <w:p w:rsidR="008B130E" w:rsidRDefault="008B130E" w:rsidP="008B130E">
      <w:pPr>
        <w:jc w:val="both"/>
        <w:rPr>
          <w:rFonts w:ascii="Tahoma" w:hAnsi="Tahoma" w:cs="Tahoma"/>
          <w:b/>
          <w:sz w:val="24"/>
          <w:szCs w:val="24"/>
        </w:rPr>
      </w:pPr>
    </w:p>
    <w:p w:rsidR="002355F0" w:rsidRDefault="002355F0" w:rsidP="008B130E">
      <w:pPr>
        <w:jc w:val="both"/>
        <w:rPr>
          <w:rFonts w:ascii="Tahoma" w:hAnsi="Tahoma" w:cs="Tahoma"/>
          <w:b/>
          <w:sz w:val="24"/>
          <w:szCs w:val="24"/>
        </w:rPr>
      </w:pPr>
    </w:p>
    <w:p w:rsidR="008B130E" w:rsidRDefault="008B130E" w:rsidP="008B13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Através do Memorando Interno nº </w:t>
      </w:r>
      <w:r w:rsidRPr="00AB67C4">
        <w:rPr>
          <w:rFonts w:ascii="Tahoma" w:hAnsi="Tahoma" w:cs="Tahoma"/>
          <w:b/>
          <w:sz w:val="24"/>
          <w:szCs w:val="24"/>
        </w:rPr>
        <w:t>00</w:t>
      </w:r>
      <w:r>
        <w:rPr>
          <w:rFonts w:ascii="Tahoma" w:hAnsi="Tahoma" w:cs="Tahoma"/>
          <w:b/>
          <w:sz w:val="24"/>
          <w:szCs w:val="24"/>
        </w:rPr>
        <w:t>2</w:t>
      </w:r>
      <w:r w:rsidRPr="00AB67C4">
        <w:rPr>
          <w:rFonts w:ascii="Tahoma" w:hAnsi="Tahoma" w:cs="Tahoma"/>
          <w:b/>
          <w:sz w:val="24"/>
          <w:szCs w:val="24"/>
        </w:rPr>
        <w:t>/201</w:t>
      </w:r>
      <w:r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sz w:val="24"/>
          <w:szCs w:val="24"/>
        </w:rPr>
        <w:t xml:space="preserve">, do Exmo. </w:t>
      </w:r>
      <w:proofErr w:type="gramStart"/>
      <w:r>
        <w:rPr>
          <w:rFonts w:ascii="Tahoma" w:hAnsi="Tahoma" w:cs="Tahoma"/>
          <w:sz w:val="24"/>
          <w:szCs w:val="24"/>
        </w:rPr>
        <w:t>Sr.</w:t>
      </w:r>
      <w:proofErr w:type="gramEnd"/>
      <w:r>
        <w:rPr>
          <w:rFonts w:ascii="Tahoma" w:hAnsi="Tahoma" w:cs="Tahoma"/>
          <w:sz w:val="24"/>
          <w:szCs w:val="24"/>
        </w:rPr>
        <w:t xml:space="preserve"> Presidente da Câmara Municipal, Vereador </w:t>
      </w:r>
      <w:proofErr w:type="spellStart"/>
      <w:r>
        <w:rPr>
          <w:rFonts w:ascii="Tahoma" w:hAnsi="Tahoma" w:cs="Tahoma"/>
          <w:sz w:val="24"/>
          <w:szCs w:val="24"/>
        </w:rPr>
        <w:t>Nelso</w:t>
      </w:r>
      <w:proofErr w:type="spellEnd"/>
      <w:r>
        <w:rPr>
          <w:rFonts w:ascii="Tahoma" w:hAnsi="Tahoma" w:cs="Tahoma"/>
          <w:sz w:val="24"/>
          <w:szCs w:val="24"/>
        </w:rPr>
        <w:t xml:space="preserve"> da Rosa Machado, foi solicitado a esta Assessoria Jurídica parecer acerca da possibilidade de fazer um Aditivo ao Contrato nº 002/15 – Prestação de Serviços de Vigilância, consi</w:t>
      </w:r>
      <w:r w:rsidR="0090173A">
        <w:rPr>
          <w:rFonts w:ascii="Tahoma" w:hAnsi="Tahoma" w:cs="Tahoma"/>
          <w:sz w:val="24"/>
          <w:szCs w:val="24"/>
        </w:rPr>
        <w:t>d</w:t>
      </w:r>
      <w:r>
        <w:rPr>
          <w:rFonts w:ascii="Tahoma" w:hAnsi="Tahoma" w:cs="Tahoma"/>
          <w:sz w:val="24"/>
          <w:szCs w:val="24"/>
        </w:rPr>
        <w:t xml:space="preserve">erando que a proprietária da referida empresa foi eleita Conselheira Tutelar no Município de </w:t>
      </w:r>
      <w:proofErr w:type="spellStart"/>
      <w:r>
        <w:rPr>
          <w:rFonts w:ascii="Tahoma" w:hAnsi="Tahoma" w:cs="Tahoma"/>
          <w:sz w:val="24"/>
          <w:szCs w:val="24"/>
        </w:rPr>
        <w:t>Tabaí</w:t>
      </w:r>
      <w:proofErr w:type="spellEnd"/>
      <w:r>
        <w:rPr>
          <w:rFonts w:ascii="Tahoma" w:hAnsi="Tahoma" w:cs="Tahoma"/>
          <w:sz w:val="24"/>
          <w:szCs w:val="24"/>
        </w:rPr>
        <w:t>, exercendo suas atividades a contar de janeiro do corrente ano.</w:t>
      </w:r>
    </w:p>
    <w:p w:rsidR="002355F0" w:rsidRDefault="008B130E" w:rsidP="008B13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</w:p>
    <w:p w:rsidR="008B130E" w:rsidRDefault="008B130E" w:rsidP="002355F0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Passo à análise.</w:t>
      </w:r>
    </w:p>
    <w:p w:rsidR="002355F0" w:rsidRDefault="002355F0" w:rsidP="008B130E">
      <w:pPr>
        <w:jc w:val="both"/>
        <w:rPr>
          <w:rFonts w:ascii="Tahoma" w:hAnsi="Tahoma" w:cs="Tahoma"/>
          <w:sz w:val="24"/>
          <w:szCs w:val="24"/>
        </w:rPr>
      </w:pPr>
    </w:p>
    <w:p w:rsidR="002355F0" w:rsidRDefault="008B130E" w:rsidP="008B13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O contrato com a empresa </w:t>
      </w:r>
      <w:r w:rsidR="002E1E9F">
        <w:rPr>
          <w:rFonts w:ascii="Tahoma" w:hAnsi="Tahoma" w:cs="Tahoma"/>
          <w:sz w:val="24"/>
          <w:szCs w:val="24"/>
        </w:rPr>
        <w:t xml:space="preserve">Aline </w:t>
      </w:r>
      <w:proofErr w:type="spellStart"/>
      <w:r w:rsidR="002E1E9F">
        <w:rPr>
          <w:rFonts w:ascii="Tahoma" w:hAnsi="Tahoma" w:cs="Tahoma"/>
          <w:sz w:val="24"/>
          <w:szCs w:val="24"/>
        </w:rPr>
        <w:t>Araujo</w:t>
      </w:r>
      <w:proofErr w:type="spellEnd"/>
      <w:r w:rsidR="002E1E9F">
        <w:rPr>
          <w:rFonts w:ascii="Tahoma" w:hAnsi="Tahoma" w:cs="Tahoma"/>
          <w:sz w:val="24"/>
          <w:szCs w:val="24"/>
        </w:rPr>
        <w:t xml:space="preserve"> da Silva ME</w:t>
      </w:r>
      <w:r>
        <w:rPr>
          <w:rFonts w:ascii="Tahoma" w:hAnsi="Tahoma" w:cs="Tahoma"/>
          <w:sz w:val="24"/>
          <w:szCs w:val="24"/>
        </w:rPr>
        <w:t xml:space="preserve"> encerrou-se em </w:t>
      </w:r>
      <w:r w:rsidR="002E1E9F">
        <w:rPr>
          <w:rFonts w:ascii="Tahoma" w:hAnsi="Tahoma" w:cs="Tahoma"/>
          <w:sz w:val="24"/>
          <w:szCs w:val="24"/>
        </w:rPr>
        <w:t>02/02/2016</w:t>
      </w:r>
      <w:r>
        <w:rPr>
          <w:rFonts w:ascii="Tahoma" w:hAnsi="Tahoma" w:cs="Tahoma"/>
          <w:sz w:val="24"/>
          <w:szCs w:val="24"/>
        </w:rPr>
        <w:t>. Ocorre que a função de Conselheira Tutelar se equipara com a de um fu</w:t>
      </w:r>
      <w:r w:rsidR="002355F0">
        <w:rPr>
          <w:rFonts w:ascii="Tahoma" w:hAnsi="Tahoma" w:cs="Tahoma"/>
          <w:sz w:val="24"/>
          <w:szCs w:val="24"/>
        </w:rPr>
        <w:t>ncionário público municipal.</w:t>
      </w:r>
    </w:p>
    <w:p w:rsidR="002355F0" w:rsidRPr="002355F0" w:rsidRDefault="002355F0" w:rsidP="0023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355F0">
        <w:rPr>
          <w:rFonts w:ascii="Tahoma" w:hAnsi="Tahoma" w:cs="Tahoma"/>
          <w:sz w:val="24"/>
          <w:szCs w:val="24"/>
        </w:rPr>
        <w:t xml:space="preserve">Por exercer “cargo” com características híbridas e que carrega um pouco das diversas classes de agente administrativo, ao se examinar casos concretos a respeito do conselheiro tutelar, é preciso verificar qual característica prepondera na hipótese. </w:t>
      </w:r>
    </w:p>
    <w:p w:rsidR="002355F0" w:rsidRPr="002355F0" w:rsidRDefault="002355F0" w:rsidP="002355F0">
      <w:pPr>
        <w:jc w:val="both"/>
        <w:rPr>
          <w:rFonts w:ascii="Tahoma" w:hAnsi="Tahoma" w:cs="Tahoma"/>
          <w:sz w:val="24"/>
          <w:szCs w:val="24"/>
        </w:rPr>
      </w:pPr>
      <w:r w:rsidRPr="002355F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2355F0">
        <w:rPr>
          <w:rFonts w:ascii="Tahoma" w:hAnsi="Tahoma" w:cs="Tahoma"/>
          <w:sz w:val="24"/>
          <w:szCs w:val="24"/>
        </w:rPr>
        <w:t>Exemplificando, por vezes o conselheiro tutelar se enquadra na classificação de agente público, como por exemplo, para os fins de improbidade administrativa</w:t>
      </w:r>
      <w:r w:rsidRPr="002355F0">
        <w:rPr>
          <w:rFonts w:ascii="Tahoma" w:hAnsi="Tahoma" w:cs="Tahoma"/>
          <w:sz w:val="24"/>
          <w:szCs w:val="24"/>
          <w:vertAlign w:val="superscript"/>
        </w:rPr>
        <w:footnoteReference w:id="1"/>
      </w:r>
      <w:r w:rsidRPr="002355F0">
        <w:rPr>
          <w:rFonts w:ascii="Tahoma" w:hAnsi="Tahoma" w:cs="Tahoma"/>
          <w:sz w:val="24"/>
          <w:szCs w:val="24"/>
        </w:rPr>
        <w:t>, quando a conduta do conselheiro tutelar der causa a prejuízo ao patrimônio público, enriquecimento ilícito ou consistir em quebra de princípios administrativos. A razão disso encontra-se na vontade da lei que busca proteger o Estado de prejuízos, patrimoniais ou morais por agentes que ela define e que desfrutam de algum vínculo com a Administração.</w:t>
      </w:r>
    </w:p>
    <w:p w:rsidR="002355F0" w:rsidRPr="002355F0" w:rsidRDefault="002355F0" w:rsidP="002355F0">
      <w:pPr>
        <w:jc w:val="both"/>
        <w:rPr>
          <w:rFonts w:ascii="Tahoma" w:hAnsi="Tahoma" w:cs="Tahoma"/>
          <w:sz w:val="24"/>
          <w:szCs w:val="24"/>
        </w:rPr>
      </w:pPr>
      <w:r w:rsidRPr="002355F0">
        <w:rPr>
          <w:rFonts w:ascii="Tahoma" w:hAnsi="Tahoma" w:cs="Tahoma"/>
          <w:sz w:val="24"/>
          <w:szCs w:val="24"/>
        </w:rPr>
        <w:lastRenderedPageBreak/>
        <w:t xml:space="preserve">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2355F0">
        <w:rPr>
          <w:rFonts w:ascii="Tahoma" w:hAnsi="Tahoma" w:cs="Tahoma"/>
          <w:sz w:val="24"/>
          <w:szCs w:val="24"/>
        </w:rPr>
        <w:t>Em outras situações, a condição do conselheiro tutelar melhor se enquadra como servidor público. Para efeitos eleitorais</w:t>
      </w:r>
      <w:r w:rsidRPr="002355F0">
        <w:rPr>
          <w:rFonts w:ascii="Tahoma" w:hAnsi="Tahoma" w:cs="Tahoma"/>
          <w:sz w:val="24"/>
          <w:szCs w:val="24"/>
          <w:vertAlign w:val="superscript"/>
        </w:rPr>
        <w:footnoteReference w:id="2"/>
      </w:r>
      <w:r w:rsidRPr="002355F0">
        <w:rPr>
          <w:rFonts w:ascii="Tahoma" w:hAnsi="Tahoma" w:cs="Tahoma"/>
          <w:sz w:val="24"/>
          <w:szCs w:val="24"/>
        </w:rPr>
        <w:t>, o candidato será considerado servidor público se, de qualquer forma, utilizando a máquina da administração, assume condutas, taxativamente previstas no art. 73, da Lei de Eleições, tendentes a afetar a igualdade</w:t>
      </w:r>
      <w:proofErr w:type="gramStart"/>
      <w:r w:rsidRPr="002355F0">
        <w:rPr>
          <w:rFonts w:ascii="Tahoma" w:hAnsi="Tahoma" w:cs="Tahoma"/>
          <w:sz w:val="24"/>
          <w:szCs w:val="24"/>
        </w:rPr>
        <w:t xml:space="preserve">  </w:t>
      </w:r>
      <w:proofErr w:type="gramEnd"/>
      <w:r w:rsidRPr="002355F0">
        <w:rPr>
          <w:rFonts w:ascii="Tahoma" w:hAnsi="Tahoma" w:cs="Tahoma"/>
          <w:sz w:val="24"/>
          <w:szCs w:val="24"/>
        </w:rPr>
        <w:t>de oportunidades entre os candidatos nos pleitos eleitorais.</w:t>
      </w:r>
    </w:p>
    <w:p w:rsidR="002355F0" w:rsidRPr="002355F0" w:rsidRDefault="002355F0" w:rsidP="0023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Pr="002355F0">
        <w:rPr>
          <w:rFonts w:ascii="Tahoma" w:hAnsi="Tahoma" w:cs="Tahoma"/>
          <w:sz w:val="24"/>
          <w:szCs w:val="24"/>
        </w:rPr>
        <w:t>Para efeitos penais, o conselheiro tutelar é funcionário público por expressa previsão no Código Penal</w:t>
      </w:r>
      <w:r w:rsidRPr="002355F0">
        <w:rPr>
          <w:rFonts w:ascii="Tahoma" w:hAnsi="Tahoma" w:cs="Tahoma"/>
          <w:sz w:val="24"/>
          <w:szCs w:val="24"/>
          <w:vertAlign w:val="superscript"/>
        </w:rPr>
        <w:footnoteReference w:id="3"/>
      </w:r>
      <w:r w:rsidRPr="002355F0">
        <w:rPr>
          <w:rFonts w:ascii="Tahoma" w:hAnsi="Tahoma" w:cs="Tahoma"/>
          <w:sz w:val="24"/>
          <w:szCs w:val="24"/>
        </w:rPr>
        <w:t xml:space="preserve"> que alargou o conceito para abarcar aqueles que cometerem as condutas penais típicas aproveitando-se de vínculo com o Estado, ainda que tênue. No mesmo sentido, assim é considerado, para efeitos penais no Código Eleitoral</w:t>
      </w:r>
      <w:r w:rsidRPr="002355F0">
        <w:rPr>
          <w:rFonts w:ascii="Tahoma" w:hAnsi="Tahoma" w:cs="Tahoma"/>
          <w:sz w:val="24"/>
          <w:szCs w:val="24"/>
          <w:vertAlign w:val="superscript"/>
        </w:rPr>
        <w:footnoteReference w:id="4"/>
      </w:r>
      <w:r w:rsidRPr="002355F0">
        <w:rPr>
          <w:rFonts w:ascii="Tahoma" w:hAnsi="Tahoma" w:cs="Tahoma"/>
          <w:sz w:val="24"/>
          <w:szCs w:val="24"/>
        </w:rPr>
        <w:t>.</w:t>
      </w:r>
    </w:p>
    <w:p w:rsidR="008B130E" w:rsidRDefault="008B130E" w:rsidP="002355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2355F0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Vale ressaltar que este Parecer é uma opinião e opinar é diferente de decidir. O Parecer não é um ato administrativo de cunho decisório, é apenas e tão somente uma opinião que </w:t>
      </w:r>
      <w:proofErr w:type="spellStart"/>
      <w:r>
        <w:rPr>
          <w:rFonts w:ascii="Tahoma" w:hAnsi="Tahoma" w:cs="Tahoma"/>
          <w:sz w:val="24"/>
          <w:szCs w:val="24"/>
        </w:rPr>
        <w:t>nçao</w:t>
      </w:r>
      <w:proofErr w:type="spellEnd"/>
      <w:r>
        <w:rPr>
          <w:rFonts w:ascii="Tahoma" w:hAnsi="Tahoma" w:cs="Tahoma"/>
          <w:sz w:val="24"/>
          <w:szCs w:val="24"/>
        </w:rPr>
        <w:t xml:space="preserve"> cria nem extingue direitos, como sói acontecer com os atos de conteúdos decisórios, razão pela qual o juízo do Assessor Jurídico não vincula a autoridade que tem poder decisório.</w:t>
      </w:r>
    </w:p>
    <w:p w:rsidR="008B130E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Segundo lecionou Hely Lopes Meirelles, “Direito Administrativo Brasileiro”, 26ª ed. Malheiros, página 185:</w:t>
      </w:r>
    </w:p>
    <w:p w:rsidR="008B130E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8B130E" w:rsidRPr="003D7C82" w:rsidRDefault="008B130E" w:rsidP="008B130E">
      <w:pPr>
        <w:spacing w:before="240"/>
        <w:ind w:left="2410"/>
        <w:jc w:val="both"/>
        <w:rPr>
          <w:rFonts w:ascii="Tahoma" w:hAnsi="Tahoma" w:cs="Tahoma"/>
          <w:b/>
          <w:i/>
        </w:rPr>
      </w:pPr>
      <w:r w:rsidRPr="003D7C82">
        <w:rPr>
          <w:rFonts w:ascii="Tahoma" w:hAnsi="Tahoma" w:cs="Tahoma"/>
          <w:b/>
          <w:i/>
        </w:rPr>
        <w:t>Pareceres administrativos são manifestações de órgãos técnicos sobre assuntos submetidos à sua consideração. O Parecer tem caráter meramente opinativo, não vinculando a Administração ou os particulares à sua motivação ou conclusões, salvo se aprovado por ato subsequente. Já então, o que subsiste como ato administrativo, não é o Parecer, mas sim o ato de sua aprovação, que poderá revestir a modalidade normativa, ordinária, negocial, ou punitiva.</w:t>
      </w:r>
    </w:p>
    <w:p w:rsidR="008B130E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90173A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ab/>
      </w:r>
    </w:p>
    <w:p w:rsidR="0090173A" w:rsidRDefault="0090173A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8B130E" w:rsidRDefault="008B130E" w:rsidP="0090173A">
      <w:pPr>
        <w:spacing w:before="240"/>
        <w:ind w:firstLine="708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Isto posto</w:t>
      </w:r>
      <w:proofErr w:type="gramEnd"/>
      <w:r>
        <w:rPr>
          <w:rFonts w:ascii="Tahoma" w:hAnsi="Tahoma" w:cs="Tahoma"/>
          <w:sz w:val="24"/>
          <w:szCs w:val="24"/>
        </w:rPr>
        <w:t xml:space="preserve">, opinamos pela </w:t>
      </w:r>
      <w:r w:rsidR="002355F0">
        <w:rPr>
          <w:rFonts w:ascii="Tahoma" w:hAnsi="Tahoma" w:cs="Tahoma"/>
          <w:sz w:val="24"/>
          <w:szCs w:val="24"/>
        </w:rPr>
        <w:t xml:space="preserve">não </w:t>
      </w:r>
      <w:r>
        <w:rPr>
          <w:rFonts w:ascii="Tahoma" w:hAnsi="Tahoma" w:cs="Tahoma"/>
          <w:sz w:val="24"/>
          <w:szCs w:val="24"/>
        </w:rPr>
        <w:t>renovação do Contrato</w:t>
      </w:r>
      <w:r w:rsidR="002355F0">
        <w:rPr>
          <w:rFonts w:ascii="Tahoma" w:hAnsi="Tahoma" w:cs="Tahoma"/>
          <w:sz w:val="24"/>
          <w:szCs w:val="24"/>
        </w:rPr>
        <w:t xml:space="preserve"> com a referida empresa, a fim de evitar possível apontamento do Tribunal de Contas do RS.</w:t>
      </w:r>
    </w:p>
    <w:p w:rsidR="002355F0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B130E" w:rsidRDefault="008B130E" w:rsidP="002355F0">
      <w:pPr>
        <w:spacing w:before="240"/>
        <w:ind w:left="2832" w:firstLine="708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Tabaí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2355F0">
        <w:rPr>
          <w:rFonts w:ascii="Tahoma" w:hAnsi="Tahoma" w:cs="Tahoma"/>
          <w:sz w:val="24"/>
          <w:szCs w:val="24"/>
        </w:rPr>
        <w:t>18</w:t>
      </w:r>
      <w:r>
        <w:rPr>
          <w:rFonts w:ascii="Tahoma" w:hAnsi="Tahoma" w:cs="Tahoma"/>
          <w:sz w:val="24"/>
          <w:szCs w:val="24"/>
        </w:rPr>
        <w:t xml:space="preserve"> de </w:t>
      </w:r>
      <w:r w:rsidR="002355F0">
        <w:rPr>
          <w:rFonts w:ascii="Tahoma" w:hAnsi="Tahoma" w:cs="Tahoma"/>
          <w:sz w:val="24"/>
          <w:szCs w:val="24"/>
        </w:rPr>
        <w:t>Janeiro</w:t>
      </w:r>
      <w:r>
        <w:rPr>
          <w:rFonts w:ascii="Tahoma" w:hAnsi="Tahoma" w:cs="Tahoma"/>
          <w:sz w:val="24"/>
          <w:szCs w:val="24"/>
        </w:rPr>
        <w:t xml:space="preserve"> de 2016.</w:t>
      </w:r>
    </w:p>
    <w:p w:rsidR="008B130E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8B130E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8B130E" w:rsidRPr="007D0595" w:rsidRDefault="008B130E" w:rsidP="008B130E">
      <w:pPr>
        <w:spacing w:before="240"/>
        <w:jc w:val="right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B130E" w:rsidRPr="000C218D" w:rsidRDefault="008B130E" w:rsidP="008B130E">
      <w:pPr>
        <w:spacing w:before="240"/>
        <w:jc w:val="both"/>
        <w:rPr>
          <w:rFonts w:ascii="Tahoma" w:hAnsi="Tahoma" w:cs="Tahoma"/>
          <w:sz w:val="24"/>
          <w:szCs w:val="24"/>
        </w:rPr>
      </w:pPr>
    </w:p>
    <w:p w:rsidR="008B130E" w:rsidRPr="000C218D" w:rsidRDefault="008B130E" w:rsidP="008B130E">
      <w:pPr>
        <w:jc w:val="center"/>
        <w:rPr>
          <w:rFonts w:ascii="Tahoma" w:hAnsi="Tahoma" w:cs="Tahoma"/>
          <w:b/>
          <w:sz w:val="24"/>
          <w:szCs w:val="24"/>
        </w:rPr>
      </w:pPr>
    </w:p>
    <w:p w:rsidR="008B130E" w:rsidRDefault="008B130E" w:rsidP="008B130E"/>
    <w:p w:rsidR="00E913CB" w:rsidRDefault="00E913CB"/>
    <w:sectPr w:rsidR="00E913CB" w:rsidSect="00662B0A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B0A" w:rsidRDefault="00662B0A" w:rsidP="002355F0">
      <w:pPr>
        <w:spacing w:after="0" w:line="240" w:lineRule="auto"/>
      </w:pPr>
      <w:r>
        <w:separator/>
      </w:r>
    </w:p>
  </w:endnote>
  <w:endnote w:type="continuationSeparator" w:id="0">
    <w:p w:rsidR="00662B0A" w:rsidRDefault="00662B0A" w:rsidP="0023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B0A" w:rsidRDefault="00662B0A" w:rsidP="002355F0">
      <w:pPr>
        <w:spacing w:after="0" w:line="240" w:lineRule="auto"/>
      </w:pPr>
      <w:r>
        <w:separator/>
      </w:r>
    </w:p>
  </w:footnote>
  <w:footnote w:type="continuationSeparator" w:id="0">
    <w:p w:rsidR="00662B0A" w:rsidRDefault="00662B0A" w:rsidP="002355F0">
      <w:pPr>
        <w:spacing w:after="0" w:line="240" w:lineRule="auto"/>
      </w:pPr>
      <w:r>
        <w:continuationSeparator/>
      </w:r>
    </w:p>
  </w:footnote>
  <w:footnote w:id="1">
    <w:p w:rsidR="002355F0" w:rsidRDefault="002355F0" w:rsidP="002355F0">
      <w:pPr>
        <w:pStyle w:val="Textodenotaderodap"/>
      </w:pPr>
      <w:r>
        <w:rPr>
          <w:rStyle w:val="Refdenotaderodap"/>
        </w:rPr>
        <w:footnoteRef/>
      </w:r>
      <w:r>
        <w:t xml:space="preserve"> Lei Federal</w:t>
      </w:r>
      <w:proofErr w:type="gramStart"/>
      <w:r>
        <w:t xml:space="preserve">  </w:t>
      </w:r>
      <w:proofErr w:type="gramEnd"/>
      <w:r>
        <w:t xml:space="preserve">n. 8.429/92 , art. 2º. – (Improbidade Administrativa) – </w:t>
      </w:r>
      <w:proofErr w:type="gramStart"/>
      <w:r>
        <w:t>“Reputa</w:t>
      </w:r>
      <w:proofErr w:type="gramEnd"/>
      <w:r>
        <w:t xml:space="preserve">-se agente público, para os efeitos desta Lei, todo aquele que exerce, ainda que transitoriamente ou sem remuneração, por </w:t>
      </w:r>
      <w:proofErr w:type="spellStart"/>
      <w:r>
        <w:t>elição</w:t>
      </w:r>
      <w:proofErr w:type="spellEnd"/>
      <w:r>
        <w:t xml:space="preserve">, nomeação, designação, contratação ou qualquer outra forma de investidura ou vínculo, mandato, cargo, emprego ou função nas entidades mencionadas no artigo anterior. </w:t>
      </w:r>
    </w:p>
  </w:footnote>
  <w:footnote w:id="2">
    <w:p w:rsidR="002355F0" w:rsidRDefault="002355F0" w:rsidP="002355F0">
      <w:pPr>
        <w:pStyle w:val="Textodenotaderodap"/>
        <w:rPr>
          <w:vertAlign w:val="superscript"/>
        </w:rPr>
      </w:pPr>
      <w:r>
        <w:rPr>
          <w:rStyle w:val="Refdenotaderodap"/>
        </w:rPr>
        <w:footnoteRef/>
      </w:r>
      <w:r>
        <w:t xml:space="preserve"> Lei de Eleições n. 9504/97 – art. 73, § 1º. – Reputa-se agente público, para efeitos deste artigo, quem exerce, ainda que transitoriamente ou sem remuneração, por eleição, nomeação, designação, contratação </w:t>
      </w:r>
      <w:proofErr w:type="spellStart"/>
      <w:r>
        <w:t>ouqualquer</w:t>
      </w:r>
      <w:proofErr w:type="spellEnd"/>
      <w:r>
        <w:t xml:space="preserve"> outra forma de investidura ou vínculo, mandato, cargo, emprego ou função nos órgãos ou entidades da administração pública direta, indireta, ou fundacional.</w:t>
      </w:r>
    </w:p>
  </w:footnote>
  <w:footnote w:id="3">
    <w:p w:rsidR="002355F0" w:rsidRDefault="002355F0" w:rsidP="002355F0">
      <w:pPr>
        <w:pStyle w:val="Textodenotaderodap"/>
      </w:pPr>
      <w:r>
        <w:rPr>
          <w:rStyle w:val="Refdenotaderodap"/>
        </w:rPr>
        <w:footnoteRef/>
      </w:r>
      <w:r>
        <w:t xml:space="preserve"> Código Penal, art. 327 – Considera-se funcionário público, para os efeitos penais, quem, embora transitoriamente ou sem remuneração, exerce cargo, emprego ou função pública. </w:t>
      </w:r>
    </w:p>
  </w:footnote>
  <w:footnote w:id="4">
    <w:p w:rsidR="002355F0" w:rsidRDefault="002355F0" w:rsidP="002355F0">
      <w:pPr>
        <w:pStyle w:val="Textodenotaderodap"/>
      </w:pPr>
      <w:r>
        <w:rPr>
          <w:rStyle w:val="Refdenotaderodap"/>
        </w:rPr>
        <w:footnoteRef/>
      </w:r>
      <w:r>
        <w:t xml:space="preserve"> Lei Federal</w:t>
      </w:r>
      <w:proofErr w:type="gramStart"/>
      <w:r>
        <w:t xml:space="preserve">  </w:t>
      </w:r>
      <w:proofErr w:type="gramEnd"/>
      <w:r>
        <w:t>n. 4737/65 – Código Eleitoral – art.283 - § 1º. – Considera-se funcionário público, para os efeitos penais, além dos indicados no presente artigo, quem, embora transitoriamente ou sem remuneração, exerce cargo, emprego ou função pública.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0E"/>
    <w:rsid w:val="002355F0"/>
    <w:rsid w:val="002E1E9F"/>
    <w:rsid w:val="00662B0A"/>
    <w:rsid w:val="008B130E"/>
    <w:rsid w:val="0090173A"/>
    <w:rsid w:val="009E56FB"/>
    <w:rsid w:val="00E9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30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23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55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2355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30E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235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2355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2355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batista</dc:creator>
  <cp:lastModifiedBy>Usuario</cp:lastModifiedBy>
  <cp:revision>1</cp:revision>
  <cp:lastPrinted>2016-03-23T14:49:00Z</cp:lastPrinted>
  <dcterms:created xsi:type="dcterms:W3CDTF">2016-03-22T17:17:00Z</dcterms:created>
  <dcterms:modified xsi:type="dcterms:W3CDTF">2016-03-23T14:51:00Z</dcterms:modified>
</cp:coreProperties>
</file>